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820B95" w14:textId="58204F72" w:rsidR="00B81FC7" w:rsidRPr="00E249CE" w:rsidRDefault="001E73BE" w:rsidP="00B81FC7">
      <w:pPr>
        <w:rPr>
          <w:b/>
          <w:lang w:val="en-GB"/>
        </w:rPr>
      </w:pPr>
      <w:r w:rsidRPr="00E249CE">
        <w:rPr>
          <w:b/>
          <w:lang w:val="en-GB"/>
        </w:rPr>
        <w:t>3GPP TSG RAN WG4</w:t>
      </w:r>
      <w:r w:rsidR="003B4147" w:rsidRPr="00E249CE">
        <w:rPr>
          <w:b/>
          <w:lang w:val="en-GB"/>
        </w:rPr>
        <w:t xml:space="preserve"> </w:t>
      </w:r>
      <w:r w:rsidR="00227D50" w:rsidRPr="00E249CE">
        <w:rPr>
          <w:b/>
          <w:lang w:val="en-GB"/>
        </w:rPr>
        <w:t>NR#3</w:t>
      </w:r>
      <w:r w:rsidR="0055483C" w:rsidRPr="00E249CE">
        <w:rPr>
          <w:b/>
          <w:lang w:val="en-GB"/>
        </w:rPr>
        <w:tab/>
      </w:r>
      <w:bookmarkStart w:id="0" w:name="_GoBack"/>
      <w:bookmarkEnd w:id="0"/>
      <w:r w:rsidR="009750F0" w:rsidRPr="00E249CE">
        <w:rPr>
          <w:b/>
          <w:lang w:val="en-GB"/>
        </w:rPr>
        <w:tab/>
      </w:r>
      <w:r w:rsidR="00B81FC7" w:rsidRPr="00E249CE">
        <w:rPr>
          <w:b/>
          <w:lang w:val="en-GB"/>
        </w:rPr>
        <w:t xml:space="preserve">           </w:t>
      </w:r>
      <w:r w:rsidR="00B81FC7" w:rsidRPr="00E249CE">
        <w:rPr>
          <w:b/>
          <w:lang w:val="en-GB" w:eastAsia="ja-JP"/>
        </w:rPr>
        <w:tab/>
      </w:r>
      <w:r w:rsidR="00B81FC7" w:rsidRPr="00E249CE">
        <w:rPr>
          <w:b/>
          <w:lang w:val="en-GB"/>
        </w:rPr>
        <w:tab/>
      </w:r>
      <w:r w:rsidR="00B81FC7" w:rsidRPr="00E249CE">
        <w:rPr>
          <w:b/>
          <w:lang w:val="en-GB"/>
        </w:rPr>
        <w:tab/>
        <w:t xml:space="preserve">             </w:t>
      </w:r>
      <w:r w:rsidR="00B81FC7" w:rsidRPr="00E249CE">
        <w:rPr>
          <w:b/>
          <w:lang w:val="en-GB"/>
        </w:rPr>
        <w:tab/>
      </w:r>
      <w:r w:rsidR="00CC6B35" w:rsidRPr="00E249CE">
        <w:rPr>
          <w:b/>
          <w:lang w:val="en-GB"/>
        </w:rPr>
        <w:tab/>
      </w:r>
      <w:r w:rsidR="000151FB" w:rsidRPr="000151FB">
        <w:rPr>
          <w:b/>
          <w:lang w:val="en-GB"/>
        </w:rPr>
        <w:t>R4-1709774</w:t>
      </w:r>
      <w:r w:rsidRPr="00E249CE">
        <w:rPr>
          <w:b/>
          <w:lang w:val="en-GB"/>
        </w:rPr>
        <w:br/>
      </w:r>
      <w:r w:rsidR="00227D50" w:rsidRPr="00E249CE">
        <w:rPr>
          <w:b/>
          <w:lang w:val="en-GB"/>
        </w:rPr>
        <w:t xml:space="preserve">18 </w:t>
      </w:r>
      <w:r w:rsidRPr="00E249CE">
        <w:rPr>
          <w:b/>
          <w:lang w:val="en-GB"/>
        </w:rPr>
        <w:t xml:space="preserve">- </w:t>
      </w:r>
      <w:r w:rsidR="00227D50" w:rsidRPr="00E249CE">
        <w:rPr>
          <w:b/>
          <w:lang w:val="en-GB"/>
        </w:rPr>
        <w:t>21</w:t>
      </w:r>
      <w:r w:rsidRPr="00E249CE">
        <w:rPr>
          <w:b/>
          <w:lang w:val="en-GB"/>
        </w:rPr>
        <w:t xml:space="preserve"> </w:t>
      </w:r>
      <w:r w:rsidR="00227D50" w:rsidRPr="00E249CE">
        <w:rPr>
          <w:b/>
          <w:lang w:val="en-GB"/>
        </w:rPr>
        <w:t xml:space="preserve">September </w:t>
      </w:r>
      <w:r w:rsidRPr="00E249CE">
        <w:rPr>
          <w:b/>
          <w:lang w:val="en-GB"/>
        </w:rPr>
        <w:t>201</w:t>
      </w:r>
      <w:r w:rsidR="009750F0" w:rsidRPr="00E249CE">
        <w:rPr>
          <w:b/>
          <w:lang w:val="en-GB"/>
        </w:rPr>
        <w:t>7</w:t>
      </w:r>
      <w:r w:rsidR="00B81FC7" w:rsidRPr="00E249CE">
        <w:rPr>
          <w:b/>
          <w:lang w:val="en-GB"/>
        </w:rPr>
        <w:t xml:space="preserve">, </w:t>
      </w:r>
      <w:r w:rsidR="00227D50" w:rsidRPr="00E249CE">
        <w:rPr>
          <w:b/>
          <w:lang w:val="en-GB"/>
        </w:rPr>
        <w:t>Nagoya</w:t>
      </w:r>
      <w:r w:rsidR="00533FBD" w:rsidRPr="00E249CE">
        <w:rPr>
          <w:b/>
          <w:lang w:val="en-GB"/>
        </w:rPr>
        <w:t>,</w:t>
      </w:r>
      <w:r w:rsidR="00E61903" w:rsidRPr="00E249CE">
        <w:rPr>
          <w:b/>
          <w:lang w:val="en-GB"/>
        </w:rPr>
        <w:t xml:space="preserve"> </w:t>
      </w:r>
      <w:r w:rsidR="00227D50" w:rsidRPr="00E249CE">
        <w:rPr>
          <w:b/>
          <w:lang w:val="en-GB"/>
        </w:rPr>
        <w:t>Japan</w:t>
      </w:r>
    </w:p>
    <w:p w14:paraId="3D0349AA" w14:textId="77777777" w:rsidR="00B81FC7" w:rsidRPr="00E249CE" w:rsidRDefault="00B81FC7" w:rsidP="00B81FC7">
      <w:pPr>
        <w:rPr>
          <w:bCs/>
          <w:lang w:val="en-GB"/>
        </w:rPr>
      </w:pPr>
      <w:r w:rsidRPr="00E249CE">
        <w:rPr>
          <w:b/>
          <w:lang w:val="en-GB"/>
        </w:rPr>
        <w:t>Source:</w:t>
      </w:r>
      <w:r w:rsidRPr="00E249CE">
        <w:rPr>
          <w:b/>
          <w:lang w:val="en-GB"/>
        </w:rPr>
        <w:tab/>
      </w:r>
      <w:r w:rsidR="00CC6B35" w:rsidRPr="00E249CE">
        <w:rPr>
          <w:b/>
          <w:lang w:val="en-GB"/>
        </w:rPr>
        <w:tab/>
      </w:r>
      <w:r w:rsidR="0038590F" w:rsidRPr="00E249CE">
        <w:rPr>
          <w:lang w:val="en-GB"/>
        </w:rPr>
        <w:t>Rohde &amp; Schwarz</w:t>
      </w:r>
    </w:p>
    <w:p w14:paraId="422DE63C" w14:textId="71ACE698" w:rsidR="00B81FC7" w:rsidRPr="00E249CE" w:rsidRDefault="00B81FC7" w:rsidP="008159B1">
      <w:pPr>
        <w:ind w:left="2160" w:hanging="2160"/>
        <w:rPr>
          <w:b/>
          <w:lang w:val="en-GB"/>
        </w:rPr>
      </w:pPr>
      <w:r w:rsidRPr="00E249CE">
        <w:rPr>
          <w:b/>
          <w:lang w:val="en-GB"/>
        </w:rPr>
        <w:t>Title:</w:t>
      </w:r>
      <w:r w:rsidRPr="00E249CE">
        <w:rPr>
          <w:b/>
          <w:lang w:val="en-GB"/>
        </w:rPr>
        <w:tab/>
      </w:r>
      <w:r w:rsidR="008912B5" w:rsidRPr="00E249CE">
        <w:rPr>
          <w:lang w:val="en-GB"/>
        </w:rPr>
        <w:t>DUT</w:t>
      </w:r>
      <w:r w:rsidR="0090245D" w:rsidRPr="00E249CE">
        <w:rPr>
          <w:lang w:val="en-GB"/>
        </w:rPr>
        <w:t xml:space="preserve"> Positioning Guidelines for NR</w:t>
      </w:r>
    </w:p>
    <w:p w14:paraId="75E65FB7" w14:textId="26A2C578" w:rsidR="00B81FC7" w:rsidRPr="00E249CE" w:rsidRDefault="00B81FC7" w:rsidP="00B81FC7">
      <w:pPr>
        <w:rPr>
          <w:bCs/>
          <w:lang w:val="en-GB" w:eastAsia="ja-JP"/>
        </w:rPr>
      </w:pPr>
      <w:r w:rsidRPr="00E249CE">
        <w:rPr>
          <w:b/>
          <w:lang w:val="en-GB"/>
        </w:rPr>
        <w:t>Agenda Item:</w:t>
      </w:r>
      <w:r w:rsidRPr="00E249CE">
        <w:rPr>
          <w:lang w:val="en-GB"/>
        </w:rPr>
        <w:tab/>
      </w:r>
      <w:r w:rsidR="00CC6B35" w:rsidRPr="00E249CE">
        <w:rPr>
          <w:lang w:val="en-GB"/>
        </w:rPr>
        <w:tab/>
      </w:r>
      <w:r w:rsidR="000151FB">
        <w:rPr>
          <w:lang w:val="en-GB"/>
        </w:rPr>
        <w:t>3.6.2</w:t>
      </w:r>
    </w:p>
    <w:p w14:paraId="21F2DA1B" w14:textId="08975955" w:rsidR="00B81FC7" w:rsidRPr="00E249CE" w:rsidRDefault="00B81FC7" w:rsidP="00B81FC7">
      <w:pPr>
        <w:rPr>
          <w:sz w:val="18"/>
          <w:szCs w:val="18"/>
          <w:lang w:val="en-GB"/>
        </w:rPr>
      </w:pPr>
      <w:r w:rsidRPr="00E249CE">
        <w:rPr>
          <w:b/>
          <w:lang w:val="en-GB"/>
        </w:rPr>
        <w:t>Document for:</w:t>
      </w:r>
      <w:r w:rsidRPr="00E249CE">
        <w:rPr>
          <w:lang w:val="en-GB"/>
        </w:rPr>
        <w:tab/>
      </w:r>
      <w:r w:rsidR="0090245D" w:rsidRPr="00E249CE">
        <w:rPr>
          <w:lang w:val="en-GB"/>
        </w:rPr>
        <w:t>Approval</w:t>
      </w:r>
    </w:p>
    <w:p w14:paraId="7CA60390" w14:textId="77777777" w:rsidR="00B81FC7" w:rsidRPr="00E249CE" w:rsidRDefault="00B81FC7" w:rsidP="00B81FC7">
      <w:pPr>
        <w:pStyle w:val="Heading1"/>
        <w:rPr>
          <w:rFonts w:cs="Arial"/>
        </w:rPr>
      </w:pPr>
      <w:r w:rsidRPr="00E249CE">
        <w:rPr>
          <w:rFonts w:cs="Arial"/>
        </w:rPr>
        <w:t>Introduction</w:t>
      </w:r>
    </w:p>
    <w:p w14:paraId="25E49558" w14:textId="658E9C5A" w:rsidR="003B4147" w:rsidRPr="00E249CE" w:rsidRDefault="00A51843" w:rsidP="008159B1">
      <w:pPr>
        <w:jc w:val="both"/>
        <w:rPr>
          <w:lang w:val="en-GB"/>
        </w:rPr>
      </w:pPr>
      <w:bookmarkStart w:id="1" w:name="OLE_LINK10"/>
      <w:bookmarkStart w:id="2" w:name="OLE_LINK11"/>
      <w:r w:rsidRPr="00E249CE">
        <w:rPr>
          <w:lang w:val="en-GB"/>
        </w:rPr>
        <w:t>During the RAN4#84 meeting, it was decided to adopt the black-box approach for NR</w:t>
      </w:r>
      <w:r w:rsidR="008034A6">
        <w:rPr>
          <w:lang w:val="en-GB"/>
        </w:rPr>
        <w:t>. The lack of a</w:t>
      </w:r>
      <w:r w:rsidRPr="00E249CE">
        <w:rPr>
          <w:lang w:val="en-GB"/>
        </w:rPr>
        <w:t xml:space="preserve"> vendor declaration about the antenna system and architecture </w:t>
      </w:r>
      <w:r w:rsidR="00667200" w:rsidRPr="00E249CE">
        <w:rPr>
          <w:lang w:val="en-GB"/>
        </w:rPr>
        <w:t>has</w:t>
      </w:r>
      <w:r w:rsidR="00C00E2E" w:rsidRPr="00E249CE">
        <w:rPr>
          <w:lang w:val="en-GB"/>
        </w:rPr>
        <w:t xml:space="preserve"> consequences related to the measurement uncertainties and test tolerances of various conformance tests [</w:t>
      </w:r>
      <w:r w:rsidR="00EF4255" w:rsidRPr="00E249CE">
        <w:rPr>
          <w:lang w:val="en-GB"/>
        </w:rPr>
        <w:t>1, 2</w:t>
      </w:r>
      <w:r w:rsidR="00C00E2E" w:rsidRPr="00E249CE">
        <w:rPr>
          <w:lang w:val="en-GB"/>
        </w:rPr>
        <w:t>]</w:t>
      </w:r>
      <w:r w:rsidR="008034A6">
        <w:rPr>
          <w:lang w:val="en-GB"/>
        </w:rPr>
        <w:t>. T</w:t>
      </w:r>
      <w:r w:rsidR="00667200" w:rsidRPr="00E249CE">
        <w:rPr>
          <w:lang w:val="en-GB"/>
        </w:rPr>
        <w:t>his</w:t>
      </w:r>
      <w:r w:rsidR="008034A6">
        <w:rPr>
          <w:lang w:val="en-GB"/>
        </w:rPr>
        <w:t xml:space="preserve"> contribution</w:t>
      </w:r>
      <w:r w:rsidR="00667200" w:rsidRPr="00E249CE">
        <w:rPr>
          <w:lang w:val="en-GB"/>
        </w:rPr>
        <w:t xml:space="preserve"> </w:t>
      </w:r>
      <w:r w:rsidR="00C00E2E" w:rsidRPr="00E249CE">
        <w:rPr>
          <w:lang w:val="en-GB"/>
        </w:rPr>
        <w:t xml:space="preserve">outlines the </w:t>
      </w:r>
      <w:r w:rsidR="00667200" w:rsidRPr="00E249CE">
        <w:rPr>
          <w:lang w:val="en-GB"/>
        </w:rPr>
        <w:t>suitable</w:t>
      </w:r>
      <w:r w:rsidR="00C00E2E" w:rsidRPr="00E249CE">
        <w:rPr>
          <w:lang w:val="en-GB"/>
        </w:rPr>
        <w:t xml:space="preserve"> positioning guidelines to minimize the MU element related to the offset between </w:t>
      </w:r>
      <w:r w:rsidR="008034A6">
        <w:rPr>
          <w:lang w:val="en-GB"/>
        </w:rPr>
        <w:t xml:space="preserve">the </w:t>
      </w:r>
      <w:r w:rsidR="00C00E2E" w:rsidRPr="00E249CE">
        <w:rPr>
          <w:lang w:val="en-GB"/>
        </w:rPr>
        <w:t>antenna array and</w:t>
      </w:r>
      <w:r w:rsidR="008034A6">
        <w:rPr>
          <w:lang w:val="en-GB"/>
        </w:rPr>
        <w:t xml:space="preserve"> the</w:t>
      </w:r>
      <w:r w:rsidR="00C00E2E" w:rsidRPr="00E249CE">
        <w:rPr>
          <w:lang w:val="en-GB"/>
        </w:rPr>
        <w:t xml:space="preserve"> </w:t>
      </w:r>
      <w:r w:rsidR="002D14C7" w:rsidRPr="00E249CE">
        <w:rPr>
          <w:lang w:val="en-GB"/>
        </w:rPr>
        <w:t>centre</w:t>
      </w:r>
      <w:r w:rsidR="00C00E2E" w:rsidRPr="00E249CE">
        <w:rPr>
          <w:lang w:val="en-GB"/>
        </w:rPr>
        <w:t xml:space="preserve"> of</w:t>
      </w:r>
      <w:r w:rsidR="00667200" w:rsidRPr="00E249CE">
        <w:rPr>
          <w:lang w:val="en-GB"/>
        </w:rPr>
        <w:t xml:space="preserve"> quiet zone.</w:t>
      </w:r>
    </w:p>
    <w:p w14:paraId="59D92B3E" w14:textId="311B0682" w:rsidR="00FC45FA" w:rsidRPr="00E249CE" w:rsidRDefault="002A659B" w:rsidP="00FC45FA">
      <w:pPr>
        <w:pStyle w:val="Heading1"/>
        <w:rPr>
          <w:rFonts w:cs="Arial"/>
        </w:rPr>
      </w:pPr>
      <w:r w:rsidRPr="00E249CE">
        <w:rPr>
          <w:rFonts w:cs="Arial"/>
        </w:rPr>
        <w:t>Discussion</w:t>
      </w:r>
    </w:p>
    <w:bookmarkEnd w:id="1"/>
    <w:bookmarkEnd w:id="2"/>
    <w:p w14:paraId="2301B50C" w14:textId="2F146D09" w:rsidR="00A30C3C" w:rsidRPr="00E249CE" w:rsidRDefault="00C00E2E" w:rsidP="00E932CE">
      <w:pPr>
        <w:rPr>
          <w:lang w:val="en-GB" w:eastAsia="en-US"/>
        </w:rPr>
      </w:pPr>
      <w:r w:rsidRPr="00E249CE">
        <w:rPr>
          <w:lang w:val="en-GB" w:eastAsia="en-US"/>
        </w:rPr>
        <w:t>Currently, the free-space testing configuration is the main focus of the testability study item and while the reference coordinate system has been defined, the positioning guidelines have not been finalized yet [3].</w:t>
      </w:r>
      <w:r w:rsidR="007E2766" w:rsidRPr="00E249CE">
        <w:rPr>
          <w:lang w:val="en-GB" w:eastAsia="en-US"/>
        </w:rPr>
        <w:t xml:space="preserve"> </w:t>
      </w:r>
      <w:r w:rsidR="00A30C3C" w:rsidRPr="00E249CE">
        <w:rPr>
          <w:lang w:val="en-GB" w:eastAsia="en-US"/>
        </w:rPr>
        <w:t xml:space="preserve">Proper positioning of the DUT is important given the decision to adopt the black-box approach for NR. </w:t>
      </w:r>
      <w:r w:rsidR="007E2766" w:rsidRPr="00E249CE">
        <w:rPr>
          <w:lang w:val="en-GB" w:eastAsia="en-US"/>
        </w:rPr>
        <w:t xml:space="preserve">It was shown that for mm-wave frequencies, relatively small offsets between the antenna array and the centre of the quiet zone </w:t>
      </w:r>
      <w:r w:rsidR="007E2766" w:rsidRPr="00E249CE">
        <w:rPr>
          <w:lang w:val="en-GB"/>
        </w:rPr>
        <w:t xml:space="preserve">(reference point for calibration) </w:t>
      </w:r>
      <w:r w:rsidR="007E2766" w:rsidRPr="00E249CE">
        <w:rPr>
          <w:lang w:val="en-GB" w:eastAsia="en-US"/>
        </w:rPr>
        <w:t xml:space="preserve">in compact OTA systems result in additional path loss differences that yield deviation in measured transmit powers or received DL power levels. The objective of the positioning guidelines for NR therefore should minimize the largest possible offset </w:t>
      </w:r>
      <w:r w:rsidR="0018188C" w:rsidRPr="00E249CE">
        <w:rPr>
          <w:lang w:val="en-GB" w:eastAsia="en-US"/>
        </w:rPr>
        <w:t>between</w:t>
      </w:r>
      <w:r w:rsidR="007E2766" w:rsidRPr="00E249CE">
        <w:rPr>
          <w:lang w:val="en-GB" w:eastAsia="en-US"/>
        </w:rPr>
        <w:t xml:space="preserve"> </w:t>
      </w:r>
      <w:r w:rsidR="0018188C" w:rsidRPr="00E249CE">
        <w:rPr>
          <w:lang w:val="en-GB" w:eastAsia="en-US"/>
        </w:rPr>
        <w:t>an antenna array integrated anywhere within the DUT and the centre of the quiet zone.</w:t>
      </w:r>
    </w:p>
    <w:p w14:paraId="3DA7C79D" w14:textId="679FFDF0" w:rsidR="0018188C" w:rsidRPr="00E249CE" w:rsidRDefault="0018188C" w:rsidP="00E932CE">
      <w:pPr>
        <w:rPr>
          <w:b/>
          <w:lang w:val="en-GB" w:eastAsia="en-US"/>
        </w:rPr>
      </w:pPr>
      <w:r w:rsidRPr="00E249CE">
        <w:rPr>
          <w:b/>
          <w:lang w:val="en-GB" w:eastAsia="en-US"/>
        </w:rPr>
        <w:t>Observation 1: The DUT positioning guidelines for NR shall minimize the maximum possible offset between an antenna array integrated anywhere within the DUT and the centre of the quiet zone.</w:t>
      </w:r>
    </w:p>
    <w:p w14:paraId="6BE4EC6F" w14:textId="219E3D23" w:rsidR="00E932CE" w:rsidRPr="00E249CE" w:rsidRDefault="00C00E2E" w:rsidP="00E932CE">
      <w:pPr>
        <w:rPr>
          <w:lang w:val="en-GB" w:eastAsia="en-US"/>
        </w:rPr>
      </w:pPr>
      <w:r w:rsidRPr="00E249CE">
        <w:rPr>
          <w:lang w:val="en-GB" w:eastAsia="en-US"/>
        </w:rPr>
        <w:t>Two prominent OTA test plans have UE positioning guidelines for the free-space testing configuration. The CTIA test plan [4]</w:t>
      </w:r>
      <w:r w:rsidR="00A53D64" w:rsidRPr="00E249CE">
        <w:rPr>
          <w:lang w:val="en-GB" w:eastAsia="en-US"/>
        </w:rPr>
        <w:t xml:space="preserve"> requires the </w:t>
      </w:r>
      <w:r w:rsidR="002D14C7" w:rsidRPr="00E249CE">
        <w:rPr>
          <w:lang w:val="en-GB" w:eastAsia="en-US"/>
        </w:rPr>
        <w:t>centre</w:t>
      </w:r>
      <w:r w:rsidR="00A53D64" w:rsidRPr="00E249CE">
        <w:rPr>
          <w:lang w:val="en-GB" w:eastAsia="en-US"/>
        </w:rPr>
        <w:t xml:space="preserve"> of the earpiece to be </w:t>
      </w:r>
      <w:r w:rsidR="002D14C7" w:rsidRPr="00E249CE">
        <w:rPr>
          <w:lang w:val="en-GB" w:eastAsia="en-US"/>
        </w:rPr>
        <w:t>centred</w:t>
      </w:r>
      <w:r w:rsidR="00A53D64" w:rsidRPr="00E249CE">
        <w:rPr>
          <w:lang w:val="en-GB" w:eastAsia="en-US"/>
        </w:rPr>
        <w:t xml:space="preserve"> at the centre of the quiet zone as indicated in Figure 1 </w:t>
      </w:r>
    </w:p>
    <w:p w14:paraId="275F470F" w14:textId="4C956D67" w:rsidR="00A53D64" w:rsidRPr="00E249CE" w:rsidRDefault="00A53D64" w:rsidP="00A53D64">
      <w:pPr>
        <w:jc w:val="center"/>
        <w:rPr>
          <w:lang w:val="en-GB" w:eastAsia="en-US"/>
        </w:rPr>
      </w:pPr>
      <w:r w:rsidRPr="00E249CE">
        <w:rPr>
          <w:noProof/>
          <w:lang w:eastAsia="en-US"/>
        </w:rPr>
        <w:lastRenderedPageBreak/>
        <w:drawing>
          <wp:inline distT="0" distB="0" distL="0" distR="0" wp14:anchorId="580DF835" wp14:editId="6EA46BB9">
            <wp:extent cx="4572000" cy="22908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72000" cy="2290885"/>
                    </a:xfrm>
                    <a:prstGeom prst="rect">
                      <a:avLst/>
                    </a:prstGeom>
                  </pic:spPr>
                </pic:pic>
              </a:graphicData>
            </a:graphic>
          </wp:inline>
        </w:drawing>
      </w:r>
    </w:p>
    <w:p w14:paraId="1B92E21C" w14:textId="09E6C722" w:rsidR="00A53D64" w:rsidRPr="00E249CE" w:rsidRDefault="00A53D64" w:rsidP="00A53D64">
      <w:pPr>
        <w:jc w:val="center"/>
        <w:rPr>
          <w:b/>
          <w:lang w:val="en-GB" w:eastAsia="en-US"/>
        </w:rPr>
      </w:pPr>
      <w:r w:rsidRPr="00E249CE">
        <w:rPr>
          <w:b/>
          <w:lang w:val="en-GB" w:eastAsia="en-US"/>
        </w:rPr>
        <w:t xml:space="preserve">Figure 1: </w:t>
      </w:r>
      <w:r w:rsidR="008912B5" w:rsidRPr="00E249CE">
        <w:rPr>
          <w:b/>
          <w:lang w:val="en-GB" w:eastAsia="en-US"/>
        </w:rPr>
        <w:t>DUT</w:t>
      </w:r>
      <w:r w:rsidRPr="00E249CE">
        <w:rPr>
          <w:b/>
          <w:lang w:val="en-GB" w:eastAsia="en-US"/>
        </w:rPr>
        <w:t xml:space="preserve"> positioning guidelines for free-space testing configuration per CTIA (Figure A-2 of [4]).</w:t>
      </w:r>
    </w:p>
    <w:p w14:paraId="5BDA189F" w14:textId="6F9174A9" w:rsidR="00A53D64" w:rsidRPr="00E249CE" w:rsidRDefault="00A53D64" w:rsidP="00A53D64">
      <w:pPr>
        <w:jc w:val="center"/>
        <w:rPr>
          <w:b/>
          <w:lang w:val="en-GB" w:eastAsia="en-US"/>
        </w:rPr>
      </w:pPr>
    </w:p>
    <w:p w14:paraId="28DDB166" w14:textId="27769A99" w:rsidR="00EF3106" w:rsidRPr="00E249CE" w:rsidRDefault="00EF3106" w:rsidP="00A53D64">
      <w:pPr>
        <w:rPr>
          <w:lang w:val="en-GB" w:eastAsia="en-US"/>
        </w:rPr>
      </w:pPr>
      <w:r w:rsidRPr="00E249CE">
        <w:rPr>
          <w:lang w:val="en-GB" w:eastAsia="en-US"/>
        </w:rPr>
        <w:t xml:space="preserve">As the ear piece of a smartphone is generally located near the top of the device, an antenna array integrated </w:t>
      </w:r>
      <w:r w:rsidR="00443B4F" w:rsidRPr="00E249CE">
        <w:rPr>
          <w:lang w:val="en-GB" w:eastAsia="en-US"/>
        </w:rPr>
        <w:t>near</w:t>
      </w:r>
      <w:r w:rsidRPr="00E249CE">
        <w:rPr>
          <w:lang w:val="en-GB" w:eastAsia="en-US"/>
        </w:rPr>
        <w:t xml:space="preserve"> the bottom of the DUT would be displaced by almost the entire height from the centre of the quiet zone. </w:t>
      </w:r>
    </w:p>
    <w:p w14:paraId="5C4233E5" w14:textId="61F80494" w:rsidR="00EF3106" w:rsidRPr="00E249CE" w:rsidRDefault="00EF3106" w:rsidP="00A53D64">
      <w:pPr>
        <w:rPr>
          <w:b/>
          <w:lang w:val="en-GB" w:eastAsia="en-US"/>
        </w:rPr>
      </w:pPr>
      <w:r w:rsidRPr="00E249CE">
        <w:rPr>
          <w:b/>
          <w:lang w:val="en-GB" w:eastAsia="en-US"/>
        </w:rPr>
        <w:t xml:space="preserve">Observation </w:t>
      </w:r>
      <w:r w:rsidR="00E249CE" w:rsidRPr="00E249CE">
        <w:rPr>
          <w:b/>
          <w:lang w:val="en-GB" w:eastAsia="en-US"/>
        </w:rPr>
        <w:t>2</w:t>
      </w:r>
      <w:r w:rsidRPr="00E249CE">
        <w:rPr>
          <w:b/>
          <w:lang w:val="en-GB" w:eastAsia="en-US"/>
        </w:rPr>
        <w:t xml:space="preserve">: The CTIA free-space positioning guidelines for smartphones could yield a very large offset between an antenna array and the centre of the quiet zone. </w:t>
      </w:r>
    </w:p>
    <w:p w14:paraId="3A35749A" w14:textId="7E93B978" w:rsidR="00A53D64" w:rsidRPr="00E249CE" w:rsidRDefault="00A53D64" w:rsidP="00A53D64">
      <w:pPr>
        <w:rPr>
          <w:lang w:val="en-GB" w:eastAsia="en-US"/>
        </w:rPr>
      </w:pPr>
      <w:r w:rsidRPr="00E249CE">
        <w:rPr>
          <w:lang w:val="en-GB" w:eastAsia="en-US"/>
        </w:rPr>
        <w:t xml:space="preserve">The </w:t>
      </w:r>
      <w:r w:rsidR="007D70DE" w:rsidRPr="00E249CE">
        <w:rPr>
          <w:lang w:val="en-GB" w:eastAsia="en-US"/>
        </w:rPr>
        <w:t xml:space="preserve">3GPP MIMO OTA test plan </w:t>
      </w:r>
      <w:r w:rsidRPr="00E249CE">
        <w:rPr>
          <w:lang w:val="en-GB" w:eastAsia="en-US"/>
        </w:rPr>
        <w:t xml:space="preserve">on the other hand specifies </w:t>
      </w:r>
      <w:r w:rsidR="007D70DE" w:rsidRPr="00E249CE">
        <w:rPr>
          <w:lang w:val="en-GB" w:eastAsia="en-US"/>
        </w:rPr>
        <w:t>a two tier positioning methodology, Clause E.2.1 of [5]. F</w:t>
      </w:r>
      <w:r w:rsidRPr="00E249CE">
        <w:rPr>
          <w:lang w:val="en-GB" w:eastAsia="en-US"/>
        </w:rPr>
        <w:t>or operating bands less than 1GHz, the “</w:t>
      </w:r>
      <w:r w:rsidR="004E1349" w:rsidRPr="00E249CE">
        <w:rPr>
          <w:lang w:val="en-GB" w:eastAsia="en-US"/>
        </w:rPr>
        <w:t>physical cent</w:t>
      </w:r>
      <w:r w:rsidRPr="00E249CE">
        <w:rPr>
          <w:lang w:val="en-GB" w:eastAsia="en-US"/>
        </w:rPr>
        <w:t>r</w:t>
      </w:r>
      <w:r w:rsidR="004E1349" w:rsidRPr="00E249CE">
        <w:rPr>
          <w:lang w:val="en-GB" w:eastAsia="en-US"/>
        </w:rPr>
        <w:t>e</w:t>
      </w:r>
      <w:r w:rsidRPr="00E249CE">
        <w:rPr>
          <w:lang w:val="en-GB" w:eastAsia="en-US"/>
        </w:rPr>
        <w:t xml:space="preserve"> of the DUT” shall be placed at the centre of the quiet zone</w:t>
      </w:r>
      <w:r w:rsidR="004E1349" w:rsidRPr="00E249CE">
        <w:rPr>
          <w:lang w:val="en-GB" w:eastAsia="en-US"/>
        </w:rPr>
        <w:t xml:space="preserve"> while for operating bands greater than 1GHz, the centre of the MIMO</w:t>
      </w:r>
      <w:r w:rsidR="005315C3" w:rsidRPr="00E249CE">
        <w:rPr>
          <w:lang w:val="en-GB" w:eastAsia="en-US"/>
        </w:rPr>
        <w:t xml:space="preserve"> antenna system</w:t>
      </w:r>
      <w:r w:rsidR="00DF4AE4" w:rsidRPr="00E249CE">
        <w:rPr>
          <w:lang w:val="en-GB" w:eastAsia="en-US"/>
        </w:rPr>
        <w:t xml:space="preserve">, provided through manufacturer declaration, </w:t>
      </w:r>
      <w:r w:rsidR="005315C3" w:rsidRPr="00E249CE">
        <w:rPr>
          <w:lang w:val="en-GB" w:eastAsia="en-US"/>
        </w:rPr>
        <w:t>shall be placed at the centre of the quiet zone</w:t>
      </w:r>
      <w:r w:rsidRPr="00E249CE">
        <w:rPr>
          <w:lang w:val="en-GB" w:eastAsia="en-US"/>
        </w:rPr>
        <w:t xml:space="preserve">. </w:t>
      </w:r>
      <w:r w:rsidR="007D70DE" w:rsidRPr="00E249CE">
        <w:rPr>
          <w:lang w:val="en-GB" w:eastAsia="en-US"/>
        </w:rPr>
        <w:t xml:space="preserve">As the black-box approach </w:t>
      </w:r>
      <w:r w:rsidR="002D14C7" w:rsidRPr="00E249CE">
        <w:rPr>
          <w:lang w:val="en-GB" w:eastAsia="en-US"/>
        </w:rPr>
        <w:t xml:space="preserve">has been adopted, the antenna positions and architecture are not going to be disclosed during conformance testing. </w:t>
      </w:r>
    </w:p>
    <w:p w14:paraId="043F3047" w14:textId="34A3236B" w:rsidR="0066453A" w:rsidRPr="00E249CE" w:rsidRDefault="0066453A" w:rsidP="00A53D64">
      <w:pPr>
        <w:rPr>
          <w:b/>
          <w:lang w:val="en-GB" w:eastAsia="en-US"/>
        </w:rPr>
      </w:pPr>
      <w:r w:rsidRPr="00E249CE">
        <w:rPr>
          <w:b/>
          <w:lang w:val="en-GB" w:eastAsia="en-US"/>
        </w:rPr>
        <w:t xml:space="preserve">Observation </w:t>
      </w:r>
      <w:r w:rsidR="00E249CE">
        <w:rPr>
          <w:b/>
          <w:lang w:val="en-GB" w:eastAsia="en-US"/>
        </w:rPr>
        <w:t>3</w:t>
      </w:r>
      <w:r w:rsidRPr="00E249CE">
        <w:rPr>
          <w:b/>
          <w:lang w:val="en-GB" w:eastAsia="en-US"/>
        </w:rPr>
        <w:t xml:space="preserve">: The adopted black box approach for NR prevents a positioning </w:t>
      </w:r>
      <w:r w:rsidR="00E249CE" w:rsidRPr="00E249CE">
        <w:rPr>
          <w:b/>
          <w:lang w:val="en-GB" w:eastAsia="en-US"/>
        </w:rPr>
        <w:t>guideline</w:t>
      </w:r>
      <w:r w:rsidRPr="00E249CE">
        <w:rPr>
          <w:b/>
          <w:lang w:val="en-GB" w:eastAsia="en-US"/>
        </w:rPr>
        <w:t xml:space="preserve"> similar to one of the MIMO OTA free-space DUT positioning approaches that takes the geometry and location of the antenna system into account. </w:t>
      </w:r>
    </w:p>
    <w:p w14:paraId="5E6314E6" w14:textId="789420F6" w:rsidR="00443B4F" w:rsidRPr="00E249CE" w:rsidRDefault="00443B4F" w:rsidP="00A53D64">
      <w:pPr>
        <w:rPr>
          <w:lang w:val="en-GB"/>
        </w:rPr>
      </w:pPr>
      <w:r w:rsidRPr="00E249CE">
        <w:rPr>
          <w:lang w:val="en-GB" w:eastAsia="en-US"/>
        </w:rPr>
        <w:t xml:space="preserve">In order to minimize the offset between antenna arrays integrated at any position of the UE and the centre of the quiet zone while making sure that the antennas </w:t>
      </w:r>
      <w:r w:rsidR="00A261E6">
        <w:rPr>
          <w:lang w:val="en-GB"/>
        </w:rPr>
        <w:t xml:space="preserve">are </w:t>
      </w:r>
      <w:r w:rsidRPr="00E249CE">
        <w:rPr>
          <w:lang w:val="en-GB"/>
        </w:rPr>
        <w:t xml:space="preserve">completely contained within the quiet zone, it is suggested to </w:t>
      </w:r>
      <w:r w:rsidR="00A261E6">
        <w:rPr>
          <w:lang w:val="en-GB"/>
        </w:rPr>
        <w:t>align</w:t>
      </w:r>
      <w:r w:rsidRPr="00E249CE">
        <w:rPr>
          <w:lang w:val="en-GB"/>
        </w:rPr>
        <w:t xml:space="preserve"> the geometric centre of the DUT </w:t>
      </w:r>
      <w:r w:rsidR="00A261E6">
        <w:rPr>
          <w:lang w:val="en-GB"/>
        </w:rPr>
        <w:t>with</w:t>
      </w:r>
      <w:r w:rsidRPr="00E249CE">
        <w:rPr>
          <w:lang w:val="en-GB"/>
        </w:rPr>
        <w:t xml:space="preserve"> the centre of the quiet zone. </w:t>
      </w:r>
    </w:p>
    <w:p w14:paraId="3E4B4998" w14:textId="009A1472" w:rsidR="00443B4F" w:rsidRPr="00E249CE" w:rsidRDefault="00443B4F" w:rsidP="00A53D64">
      <w:pPr>
        <w:rPr>
          <w:b/>
          <w:lang w:val="en-GB" w:eastAsia="en-US"/>
        </w:rPr>
      </w:pPr>
      <w:r w:rsidRPr="00E249CE">
        <w:rPr>
          <w:b/>
          <w:lang w:val="en-GB"/>
        </w:rPr>
        <w:t>Proposal 1: The geometric</w:t>
      </w:r>
      <w:r w:rsidR="00E249CE">
        <w:rPr>
          <w:b/>
          <w:lang w:val="en-GB"/>
        </w:rPr>
        <w:t xml:space="preserve"> cent</w:t>
      </w:r>
      <w:r w:rsidRPr="00E249CE">
        <w:rPr>
          <w:b/>
          <w:lang w:val="en-GB"/>
        </w:rPr>
        <w:t>r</w:t>
      </w:r>
      <w:r w:rsidR="00E249CE">
        <w:rPr>
          <w:b/>
          <w:lang w:val="en-GB"/>
        </w:rPr>
        <w:t>e</w:t>
      </w:r>
      <w:r w:rsidRPr="00E249CE">
        <w:rPr>
          <w:b/>
          <w:lang w:val="en-GB"/>
        </w:rPr>
        <w:t xml:space="preserve"> of the DUT shall be </w:t>
      </w:r>
      <w:r w:rsidR="00A261E6">
        <w:rPr>
          <w:b/>
          <w:lang w:val="en-GB"/>
        </w:rPr>
        <w:t>aligned with the</w:t>
      </w:r>
      <w:r w:rsidRPr="00E249CE">
        <w:rPr>
          <w:b/>
          <w:lang w:val="en-GB"/>
        </w:rPr>
        <w:t xml:space="preserve"> centre of the quiet zone.</w:t>
      </w:r>
    </w:p>
    <w:p w14:paraId="4942F6A5" w14:textId="77777777" w:rsidR="00443B4F" w:rsidRPr="00E249CE" w:rsidRDefault="00443B4F" w:rsidP="00443B4F">
      <w:pPr>
        <w:rPr>
          <w:b/>
          <w:lang w:val="en-GB" w:eastAsia="en-US"/>
        </w:rPr>
      </w:pPr>
    </w:p>
    <w:p w14:paraId="28FCE9B1" w14:textId="4DA4EFC0" w:rsidR="00443B4F" w:rsidRPr="00E249CE" w:rsidRDefault="00443B4F" w:rsidP="00443B4F">
      <w:pPr>
        <w:pStyle w:val="Heading1"/>
        <w:numPr>
          <w:ilvl w:val="0"/>
          <w:numId w:val="0"/>
        </w:numPr>
        <w:ind w:left="432" w:hanging="432"/>
        <w:rPr>
          <w:rFonts w:cs="Arial"/>
        </w:rPr>
      </w:pPr>
      <w:r w:rsidRPr="00E249CE">
        <w:rPr>
          <w:rFonts w:cs="Arial"/>
        </w:rPr>
        <w:lastRenderedPageBreak/>
        <w:t>Summary</w:t>
      </w:r>
    </w:p>
    <w:p w14:paraId="41AA4ADA" w14:textId="77777777" w:rsidR="00E249CE" w:rsidRPr="00E249CE" w:rsidRDefault="00E249CE" w:rsidP="00E249CE">
      <w:pPr>
        <w:rPr>
          <w:b/>
          <w:lang w:val="en-GB" w:eastAsia="en-US"/>
        </w:rPr>
      </w:pPr>
      <w:r w:rsidRPr="00E249CE">
        <w:rPr>
          <w:b/>
          <w:lang w:val="en-GB" w:eastAsia="en-US"/>
        </w:rPr>
        <w:t>Observation 1: The DUT positioning guidelines for NR shall minimized the maximum possible offset between an antenna array integrated anywhere within the DUT and the centre of the quiet zone.</w:t>
      </w:r>
    </w:p>
    <w:p w14:paraId="524ED343" w14:textId="77777777" w:rsidR="00E249CE" w:rsidRPr="00E249CE" w:rsidRDefault="00E249CE" w:rsidP="00E249CE">
      <w:pPr>
        <w:rPr>
          <w:b/>
          <w:lang w:val="en-GB" w:eastAsia="en-US"/>
        </w:rPr>
      </w:pPr>
      <w:r w:rsidRPr="00E249CE">
        <w:rPr>
          <w:b/>
          <w:lang w:val="en-GB" w:eastAsia="en-US"/>
        </w:rPr>
        <w:t xml:space="preserve">Observation 2: The CTIA free-space positioning guidelines for smartphones could yield a very large offset between an antenna array and the centre of the quiet zone. </w:t>
      </w:r>
    </w:p>
    <w:p w14:paraId="4DC264DD" w14:textId="77777777" w:rsidR="00E249CE" w:rsidRPr="00E249CE" w:rsidRDefault="00E249CE" w:rsidP="00E249CE">
      <w:pPr>
        <w:rPr>
          <w:b/>
          <w:lang w:val="en-GB" w:eastAsia="en-US"/>
        </w:rPr>
      </w:pPr>
      <w:r w:rsidRPr="00E249CE">
        <w:rPr>
          <w:b/>
          <w:lang w:val="en-GB" w:eastAsia="en-US"/>
        </w:rPr>
        <w:t xml:space="preserve">Observation </w:t>
      </w:r>
      <w:r>
        <w:rPr>
          <w:b/>
          <w:lang w:val="en-GB" w:eastAsia="en-US"/>
        </w:rPr>
        <w:t>3</w:t>
      </w:r>
      <w:r w:rsidRPr="00E249CE">
        <w:rPr>
          <w:b/>
          <w:lang w:val="en-GB" w:eastAsia="en-US"/>
        </w:rPr>
        <w:t xml:space="preserve">: The adopted black box approach for NR prevents a positioning guideline similar to one of the MIMO OTA free-space DUT positioning approaches that takes the geometry and location of the antenna system into account. </w:t>
      </w:r>
    </w:p>
    <w:p w14:paraId="4F335F08" w14:textId="77777777" w:rsidR="00A94FE9" w:rsidRPr="00E249CE" w:rsidRDefault="00A94FE9" w:rsidP="00A94FE9">
      <w:pPr>
        <w:rPr>
          <w:b/>
          <w:lang w:val="en-GB" w:eastAsia="en-US"/>
        </w:rPr>
      </w:pPr>
      <w:bookmarkStart w:id="3" w:name="_Ref473660868"/>
      <w:bookmarkStart w:id="4" w:name="_Ref473660708"/>
      <w:bookmarkStart w:id="5" w:name="OLE_LINK6"/>
      <w:bookmarkStart w:id="6" w:name="OLE_LINK7"/>
      <w:r w:rsidRPr="00E249CE">
        <w:rPr>
          <w:b/>
          <w:lang w:val="en-GB"/>
        </w:rPr>
        <w:t>Proposal 1: The geometric</w:t>
      </w:r>
      <w:r>
        <w:rPr>
          <w:b/>
          <w:lang w:val="en-GB"/>
        </w:rPr>
        <w:t xml:space="preserve"> cent</w:t>
      </w:r>
      <w:r w:rsidRPr="00E249CE">
        <w:rPr>
          <w:b/>
          <w:lang w:val="en-GB"/>
        </w:rPr>
        <w:t>r</w:t>
      </w:r>
      <w:r>
        <w:rPr>
          <w:b/>
          <w:lang w:val="en-GB"/>
        </w:rPr>
        <w:t>e</w:t>
      </w:r>
      <w:r w:rsidRPr="00E249CE">
        <w:rPr>
          <w:b/>
          <w:lang w:val="en-GB"/>
        </w:rPr>
        <w:t xml:space="preserve"> of the DUT shall be </w:t>
      </w:r>
      <w:r>
        <w:rPr>
          <w:b/>
          <w:lang w:val="en-GB"/>
        </w:rPr>
        <w:t>aligned with the</w:t>
      </w:r>
      <w:r w:rsidRPr="00E249CE">
        <w:rPr>
          <w:b/>
          <w:lang w:val="en-GB"/>
        </w:rPr>
        <w:t xml:space="preserve"> centre of the quiet zone.</w:t>
      </w:r>
    </w:p>
    <w:p w14:paraId="1559997D" w14:textId="01C347E3" w:rsidR="00030A7F" w:rsidRPr="00E249CE" w:rsidRDefault="00030A7F" w:rsidP="00030A7F">
      <w:pPr>
        <w:pStyle w:val="Heading1"/>
        <w:numPr>
          <w:ilvl w:val="0"/>
          <w:numId w:val="0"/>
        </w:numPr>
        <w:ind w:left="432" w:hanging="432"/>
        <w:rPr>
          <w:rFonts w:cs="Arial"/>
        </w:rPr>
      </w:pPr>
      <w:r w:rsidRPr="00E249CE">
        <w:rPr>
          <w:rFonts w:cs="Arial"/>
        </w:rPr>
        <w:t>References</w:t>
      </w:r>
    </w:p>
    <w:p w14:paraId="025052C6" w14:textId="422C1496" w:rsidR="00C00E2E" w:rsidRPr="00E249CE" w:rsidRDefault="00030A7F" w:rsidP="00030A7F">
      <w:pPr>
        <w:spacing w:after="0" w:line="240" w:lineRule="auto"/>
        <w:ind w:left="432" w:hanging="432"/>
        <w:rPr>
          <w:lang w:val="en-GB"/>
        </w:rPr>
      </w:pPr>
      <w:r w:rsidRPr="00E249CE">
        <w:rPr>
          <w:lang w:val="en-GB"/>
        </w:rPr>
        <w:t>[1]</w:t>
      </w:r>
      <w:r w:rsidR="007C1EC0" w:rsidRPr="00E249CE">
        <w:rPr>
          <w:lang w:val="en-GB"/>
        </w:rPr>
        <w:tab/>
      </w:r>
      <w:r w:rsidR="00C00E2E" w:rsidRPr="00E249CE">
        <w:rPr>
          <w:lang w:val="en-GB"/>
        </w:rPr>
        <w:t>R4-170820</w:t>
      </w:r>
      <w:r w:rsidR="007E2766" w:rsidRPr="00E249CE">
        <w:rPr>
          <w:lang w:val="en-GB"/>
        </w:rPr>
        <w:t>0</w:t>
      </w:r>
      <w:r w:rsidR="00C00E2E" w:rsidRPr="00E249CE">
        <w:rPr>
          <w:lang w:val="en-GB"/>
        </w:rPr>
        <w:t xml:space="preserve">, </w:t>
      </w:r>
      <w:r w:rsidR="007E2766" w:rsidRPr="00E249CE">
        <w:rPr>
          <w:lang w:val="en-GB"/>
        </w:rPr>
        <w:t>Black Box vs White Box Testing for NR</w:t>
      </w:r>
      <w:r w:rsidR="00C00E2E" w:rsidRPr="00E249CE">
        <w:rPr>
          <w:lang w:val="en-GB"/>
        </w:rPr>
        <w:t>,</w:t>
      </w:r>
      <w:r w:rsidR="00EF4255" w:rsidRPr="00E249CE">
        <w:rPr>
          <w:lang w:val="en-GB"/>
        </w:rPr>
        <w:t xml:space="preserve"> Rohde &amp; Schwarz, </w:t>
      </w:r>
      <w:r w:rsidR="00EF4255" w:rsidRPr="00E249CE">
        <w:rPr>
          <w:sz w:val="20"/>
          <w:szCs w:val="20"/>
          <w:lang w:val="en-GB"/>
        </w:rPr>
        <w:t>TSG RAN WG4 Meeting #84, Berlin, China, August 2017</w:t>
      </w:r>
    </w:p>
    <w:p w14:paraId="4DB7CC17" w14:textId="475A66F9" w:rsidR="00BE29DD" w:rsidRPr="00E249CE" w:rsidRDefault="00030A7F" w:rsidP="00EF4255">
      <w:pPr>
        <w:spacing w:after="0" w:line="240" w:lineRule="auto"/>
        <w:ind w:left="432" w:hanging="432"/>
        <w:rPr>
          <w:lang w:val="en-GB"/>
        </w:rPr>
      </w:pPr>
      <w:r w:rsidRPr="00E249CE">
        <w:rPr>
          <w:lang w:val="en-GB"/>
        </w:rPr>
        <w:t>[2]</w:t>
      </w:r>
      <w:r w:rsidRPr="00E249CE">
        <w:rPr>
          <w:lang w:val="en-GB"/>
        </w:rPr>
        <w:tab/>
      </w:r>
      <w:bookmarkEnd w:id="3"/>
      <w:r w:rsidR="00C00E2E" w:rsidRPr="00E249CE">
        <w:rPr>
          <w:lang w:val="en-GB"/>
        </w:rPr>
        <w:t xml:space="preserve">R4-1707220, Views on MU contribution Offset of DUT phase centre from axis of </w:t>
      </w:r>
      <w:proofErr w:type="gramStart"/>
      <w:r w:rsidR="00C00E2E" w:rsidRPr="00E249CE">
        <w:rPr>
          <w:lang w:val="en-GB"/>
        </w:rPr>
        <w:t>rotation  for</w:t>
      </w:r>
      <w:proofErr w:type="gramEnd"/>
      <w:r w:rsidR="00C00E2E" w:rsidRPr="00E249CE">
        <w:rPr>
          <w:lang w:val="en-GB"/>
        </w:rPr>
        <w:t xml:space="preserve"> NR OTA, Anritsu</w:t>
      </w:r>
      <w:r w:rsidR="00EF4255" w:rsidRPr="00E249CE">
        <w:rPr>
          <w:lang w:val="en-GB"/>
        </w:rPr>
        <w:t xml:space="preserve">, </w:t>
      </w:r>
      <w:r w:rsidR="00EF4255" w:rsidRPr="00E249CE">
        <w:rPr>
          <w:sz w:val="20"/>
          <w:szCs w:val="20"/>
          <w:lang w:val="en-GB"/>
        </w:rPr>
        <w:t>TSG RAN WG4 Meeting #84, Berlin, China, August 2017</w:t>
      </w:r>
    </w:p>
    <w:p w14:paraId="7B16D76D" w14:textId="0B716DCD" w:rsidR="00C00E2E" w:rsidRPr="00E249CE" w:rsidRDefault="00C00E2E" w:rsidP="00C00E2E">
      <w:pPr>
        <w:spacing w:after="0" w:line="240" w:lineRule="auto"/>
        <w:ind w:left="432" w:hanging="432"/>
        <w:rPr>
          <w:lang w:val="en-GB"/>
        </w:rPr>
      </w:pPr>
      <w:r w:rsidRPr="00E249CE">
        <w:rPr>
          <w:lang w:val="en-GB"/>
        </w:rPr>
        <w:t>[3]</w:t>
      </w:r>
      <w:r w:rsidRPr="00E249CE">
        <w:rPr>
          <w:lang w:val="en-GB"/>
        </w:rPr>
        <w:tab/>
        <w:t>TR38.810 v0.0.2</w:t>
      </w:r>
      <w:r w:rsidR="00035945">
        <w:rPr>
          <w:lang w:val="en-GB"/>
        </w:rPr>
        <w:t xml:space="preserve"> (2017-05) </w:t>
      </w:r>
      <w:r w:rsidR="00035945" w:rsidRPr="00035945">
        <w:rPr>
          <w:lang w:val="en-GB"/>
        </w:rPr>
        <w:t>Test methods for New Radio</w:t>
      </w:r>
    </w:p>
    <w:p w14:paraId="7425010E" w14:textId="4782C0A0" w:rsidR="00F0132A" w:rsidRPr="00E249CE" w:rsidRDefault="00F0132A" w:rsidP="00F0132A">
      <w:pPr>
        <w:spacing w:after="0" w:line="240" w:lineRule="auto"/>
        <w:ind w:left="432" w:hanging="432"/>
        <w:rPr>
          <w:lang w:val="en-GB"/>
        </w:rPr>
      </w:pPr>
      <w:r w:rsidRPr="00E249CE">
        <w:rPr>
          <w:lang w:val="en-GB"/>
        </w:rPr>
        <w:t>[4]</w:t>
      </w:r>
      <w:r w:rsidRPr="00E249CE">
        <w:rPr>
          <w:lang w:val="en-GB"/>
        </w:rPr>
        <w:tab/>
        <w:t>CTIA, “Test Plan for Wireless Device Over-the-Air Performance” Version 3.7, June 2017</w:t>
      </w:r>
    </w:p>
    <w:bookmarkEnd w:id="4"/>
    <w:bookmarkEnd w:id="5"/>
    <w:bookmarkEnd w:id="6"/>
    <w:p w14:paraId="02A87ADF" w14:textId="04CFF87F" w:rsidR="00035945" w:rsidRPr="00FB7766" w:rsidRDefault="00035945" w:rsidP="00035945">
      <w:pPr>
        <w:spacing w:after="0" w:line="240" w:lineRule="auto"/>
        <w:ind w:left="432" w:hanging="432"/>
        <w:rPr>
          <w:lang w:val="en-GB"/>
        </w:rPr>
      </w:pPr>
      <w:r w:rsidRPr="00FB7766">
        <w:rPr>
          <w:lang w:val="en-GB"/>
        </w:rPr>
        <w:t>[</w:t>
      </w:r>
      <w:r>
        <w:rPr>
          <w:lang w:val="en-GB"/>
        </w:rPr>
        <w:t>5</w:t>
      </w:r>
      <w:r w:rsidRPr="00FB7766">
        <w:rPr>
          <w:lang w:val="en-GB"/>
        </w:rPr>
        <w:t xml:space="preserve">] </w:t>
      </w:r>
      <w:r w:rsidRPr="00FB7766">
        <w:rPr>
          <w:lang w:val="en-GB"/>
        </w:rPr>
        <w:tab/>
      </w:r>
      <w:r>
        <w:rPr>
          <w:lang w:val="en-GB"/>
        </w:rPr>
        <w:t xml:space="preserve">3GPP </w:t>
      </w:r>
      <w:r w:rsidRPr="00FB7766">
        <w:rPr>
          <w:lang w:val="en-GB"/>
        </w:rPr>
        <w:t>TR 37.977 v14.4.0 (2017-06) Verification of radiated multi-antenna reception performance of User Equipment (UE)</w:t>
      </w:r>
    </w:p>
    <w:p w14:paraId="3F053A66" w14:textId="0C3F7631" w:rsidR="001B137F" w:rsidRPr="00E249CE" w:rsidRDefault="001B137F" w:rsidP="001747B0">
      <w:pPr>
        <w:spacing w:after="0" w:line="240" w:lineRule="auto"/>
        <w:ind w:left="720" w:hanging="720"/>
        <w:rPr>
          <w:lang w:val="en-GB"/>
        </w:rPr>
      </w:pPr>
    </w:p>
    <w:sectPr w:rsidR="001B137F" w:rsidRPr="00E249CE" w:rsidSect="003838EA">
      <w:footerReference w:type="default" r:id="rId9"/>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E0B8DD" w14:textId="77777777" w:rsidR="000D4D19" w:rsidRDefault="000D4D19" w:rsidP="00371D7D">
      <w:r>
        <w:separator/>
      </w:r>
    </w:p>
  </w:endnote>
  <w:endnote w:type="continuationSeparator" w:id="0">
    <w:p w14:paraId="28A1528B" w14:textId="77777777" w:rsidR="000D4D19" w:rsidRDefault="000D4D19"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23B1B600" w:rsidR="009C2950" w:rsidRPr="000E7B1E" w:rsidRDefault="009C295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0151FB">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C0EF8B" w14:textId="77777777" w:rsidR="000D4D19" w:rsidRDefault="000D4D19" w:rsidP="00371D7D">
      <w:r>
        <w:separator/>
      </w:r>
    </w:p>
  </w:footnote>
  <w:footnote w:type="continuationSeparator" w:id="0">
    <w:p w14:paraId="0DE3FAB2" w14:textId="77777777" w:rsidR="000D4D19" w:rsidRDefault="000D4D19"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4"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5"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6"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0"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10"/>
  </w:num>
  <w:num w:numId="3">
    <w:abstractNumId w:val="15"/>
  </w:num>
  <w:num w:numId="4">
    <w:abstractNumId w:val="27"/>
  </w:num>
  <w:num w:numId="5">
    <w:abstractNumId w:val="15"/>
  </w:num>
  <w:num w:numId="6">
    <w:abstractNumId w:val="15"/>
  </w:num>
  <w:num w:numId="7">
    <w:abstractNumId w:val="15"/>
  </w:num>
  <w:num w:numId="8">
    <w:abstractNumId w:val="15"/>
  </w:num>
  <w:num w:numId="9">
    <w:abstractNumId w:val="14"/>
  </w:num>
  <w:num w:numId="10">
    <w:abstractNumId w:val="16"/>
  </w:num>
  <w:num w:numId="11">
    <w:abstractNumId w:val="13"/>
  </w:num>
  <w:num w:numId="12">
    <w:abstractNumId w:val="12"/>
  </w:num>
  <w:num w:numId="13">
    <w:abstractNumId w:val="30"/>
  </w:num>
  <w:num w:numId="14">
    <w:abstractNumId w:val="15"/>
  </w:num>
  <w:num w:numId="15">
    <w:abstractNumId w:val="23"/>
  </w:num>
  <w:num w:numId="16">
    <w:abstractNumId w:val="9"/>
  </w:num>
  <w:num w:numId="17">
    <w:abstractNumId w:val="6"/>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8"/>
  </w:num>
  <w:num w:numId="23">
    <w:abstractNumId w:val="15"/>
  </w:num>
  <w:num w:numId="24">
    <w:abstractNumId w:val="7"/>
  </w:num>
  <w:num w:numId="25">
    <w:abstractNumId w:val="8"/>
  </w:num>
  <w:num w:numId="26">
    <w:abstractNumId w:val="15"/>
  </w:num>
  <w:num w:numId="27">
    <w:abstractNumId w:val="17"/>
  </w:num>
  <w:num w:numId="28">
    <w:abstractNumId w:val="2"/>
  </w:num>
  <w:num w:numId="29">
    <w:abstractNumId w:val="21"/>
  </w:num>
  <w:num w:numId="30">
    <w:abstractNumId w:val="26"/>
  </w:num>
  <w:num w:numId="31">
    <w:abstractNumId w:val="25"/>
  </w:num>
  <w:num w:numId="32">
    <w:abstractNumId w:val="5"/>
  </w:num>
  <w:num w:numId="33">
    <w:abstractNumId w:val="32"/>
  </w:num>
  <w:num w:numId="34">
    <w:abstractNumId w:val="1"/>
  </w:num>
  <w:num w:numId="35">
    <w:abstractNumId w:val="11"/>
  </w:num>
  <w:num w:numId="36">
    <w:abstractNumId w:val="24"/>
  </w:num>
  <w:num w:numId="37">
    <w:abstractNumId w:val="19"/>
  </w:num>
  <w:num w:numId="38">
    <w:abstractNumId w:val="31"/>
  </w:num>
  <w:num w:numId="39">
    <w:abstractNumId w:val="22"/>
  </w:num>
  <w:num w:numId="40">
    <w:abstractNumId w:val="29"/>
  </w:num>
  <w:num w:numId="41">
    <w:abstractNumId w:val="20"/>
  </w:num>
  <w:num w:numId="42">
    <w:abstractNumId w:val="15"/>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151FB"/>
    <w:rsid w:val="000200E1"/>
    <w:rsid w:val="00020F4A"/>
    <w:rsid w:val="00021A1A"/>
    <w:rsid w:val="0002461A"/>
    <w:rsid w:val="00025D21"/>
    <w:rsid w:val="000304B0"/>
    <w:rsid w:val="00030A7F"/>
    <w:rsid w:val="00030EFF"/>
    <w:rsid w:val="00032AC4"/>
    <w:rsid w:val="00035945"/>
    <w:rsid w:val="00036082"/>
    <w:rsid w:val="000402B6"/>
    <w:rsid w:val="00040F64"/>
    <w:rsid w:val="00044187"/>
    <w:rsid w:val="0004547C"/>
    <w:rsid w:val="00047428"/>
    <w:rsid w:val="00047E75"/>
    <w:rsid w:val="0006221F"/>
    <w:rsid w:val="000652BE"/>
    <w:rsid w:val="0006555A"/>
    <w:rsid w:val="00075135"/>
    <w:rsid w:val="000762B7"/>
    <w:rsid w:val="000814E4"/>
    <w:rsid w:val="00081C35"/>
    <w:rsid w:val="000828B5"/>
    <w:rsid w:val="00082A5B"/>
    <w:rsid w:val="00092C97"/>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4D19"/>
    <w:rsid w:val="000D68AB"/>
    <w:rsid w:val="000D79F1"/>
    <w:rsid w:val="000E00AB"/>
    <w:rsid w:val="000E637C"/>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F9C"/>
    <w:rsid w:val="00123745"/>
    <w:rsid w:val="00126CE6"/>
    <w:rsid w:val="00132BDD"/>
    <w:rsid w:val="001339FF"/>
    <w:rsid w:val="001378A7"/>
    <w:rsid w:val="0015068F"/>
    <w:rsid w:val="001530C0"/>
    <w:rsid w:val="00153604"/>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188C"/>
    <w:rsid w:val="00184003"/>
    <w:rsid w:val="00193A3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708"/>
    <w:rsid w:val="002B5F65"/>
    <w:rsid w:val="002B7900"/>
    <w:rsid w:val="002C098B"/>
    <w:rsid w:val="002C3A4F"/>
    <w:rsid w:val="002C48E9"/>
    <w:rsid w:val="002C75A4"/>
    <w:rsid w:val="002D0C60"/>
    <w:rsid w:val="002D14C7"/>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1491"/>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575F"/>
    <w:rsid w:val="003A7774"/>
    <w:rsid w:val="003B0EF9"/>
    <w:rsid w:val="003B1E3D"/>
    <w:rsid w:val="003B4147"/>
    <w:rsid w:val="003B4C4E"/>
    <w:rsid w:val="003B5223"/>
    <w:rsid w:val="003B6518"/>
    <w:rsid w:val="003B7288"/>
    <w:rsid w:val="003C1CA1"/>
    <w:rsid w:val="003C4DDA"/>
    <w:rsid w:val="003C5B3F"/>
    <w:rsid w:val="003D0E5C"/>
    <w:rsid w:val="003D51E6"/>
    <w:rsid w:val="003D602B"/>
    <w:rsid w:val="003D7784"/>
    <w:rsid w:val="003D7B2C"/>
    <w:rsid w:val="003E12B0"/>
    <w:rsid w:val="003E2565"/>
    <w:rsid w:val="003E5779"/>
    <w:rsid w:val="003F0E6E"/>
    <w:rsid w:val="003F1A78"/>
    <w:rsid w:val="003F7641"/>
    <w:rsid w:val="004033E9"/>
    <w:rsid w:val="004137F2"/>
    <w:rsid w:val="004149E9"/>
    <w:rsid w:val="00420D58"/>
    <w:rsid w:val="00423201"/>
    <w:rsid w:val="0043036D"/>
    <w:rsid w:val="004324FB"/>
    <w:rsid w:val="004325A5"/>
    <w:rsid w:val="004340EB"/>
    <w:rsid w:val="00434839"/>
    <w:rsid w:val="004372AD"/>
    <w:rsid w:val="00442027"/>
    <w:rsid w:val="00443B4F"/>
    <w:rsid w:val="00445FD4"/>
    <w:rsid w:val="00446661"/>
    <w:rsid w:val="00451093"/>
    <w:rsid w:val="00455988"/>
    <w:rsid w:val="00457EE8"/>
    <w:rsid w:val="00460804"/>
    <w:rsid w:val="004614C5"/>
    <w:rsid w:val="0046181B"/>
    <w:rsid w:val="0046280F"/>
    <w:rsid w:val="004641CE"/>
    <w:rsid w:val="00465DA7"/>
    <w:rsid w:val="0046755F"/>
    <w:rsid w:val="00470182"/>
    <w:rsid w:val="00474149"/>
    <w:rsid w:val="00475793"/>
    <w:rsid w:val="00477362"/>
    <w:rsid w:val="00477BB8"/>
    <w:rsid w:val="00481B3C"/>
    <w:rsid w:val="004858E1"/>
    <w:rsid w:val="0048673D"/>
    <w:rsid w:val="00487FC3"/>
    <w:rsid w:val="00491A62"/>
    <w:rsid w:val="00492977"/>
    <w:rsid w:val="0049310F"/>
    <w:rsid w:val="0049394D"/>
    <w:rsid w:val="00493E67"/>
    <w:rsid w:val="00493FA6"/>
    <w:rsid w:val="004A04A5"/>
    <w:rsid w:val="004A2F58"/>
    <w:rsid w:val="004A3D93"/>
    <w:rsid w:val="004A5815"/>
    <w:rsid w:val="004A60F7"/>
    <w:rsid w:val="004A79DF"/>
    <w:rsid w:val="004B0619"/>
    <w:rsid w:val="004B0EE9"/>
    <w:rsid w:val="004C0EA3"/>
    <w:rsid w:val="004C6EB0"/>
    <w:rsid w:val="004D2DCF"/>
    <w:rsid w:val="004D54FF"/>
    <w:rsid w:val="004D74F3"/>
    <w:rsid w:val="004E1349"/>
    <w:rsid w:val="004E1ED2"/>
    <w:rsid w:val="004E2925"/>
    <w:rsid w:val="004E3358"/>
    <w:rsid w:val="004E3BCC"/>
    <w:rsid w:val="004E4907"/>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15C3"/>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E03"/>
    <w:rsid w:val="00566B4A"/>
    <w:rsid w:val="005678D2"/>
    <w:rsid w:val="00570805"/>
    <w:rsid w:val="00571AAB"/>
    <w:rsid w:val="00583905"/>
    <w:rsid w:val="00586465"/>
    <w:rsid w:val="00590023"/>
    <w:rsid w:val="00594B54"/>
    <w:rsid w:val="005A04AB"/>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60326E"/>
    <w:rsid w:val="00606D88"/>
    <w:rsid w:val="00607A72"/>
    <w:rsid w:val="0061069A"/>
    <w:rsid w:val="00611A7F"/>
    <w:rsid w:val="00612270"/>
    <w:rsid w:val="0061650C"/>
    <w:rsid w:val="00617172"/>
    <w:rsid w:val="00617926"/>
    <w:rsid w:val="00621319"/>
    <w:rsid w:val="00626288"/>
    <w:rsid w:val="00627053"/>
    <w:rsid w:val="00630334"/>
    <w:rsid w:val="0063332F"/>
    <w:rsid w:val="00633773"/>
    <w:rsid w:val="0063395B"/>
    <w:rsid w:val="00635940"/>
    <w:rsid w:val="006366AD"/>
    <w:rsid w:val="00640E01"/>
    <w:rsid w:val="00641EC6"/>
    <w:rsid w:val="0064203F"/>
    <w:rsid w:val="00645237"/>
    <w:rsid w:val="006466C9"/>
    <w:rsid w:val="00654178"/>
    <w:rsid w:val="0066196E"/>
    <w:rsid w:val="0066453A"/>
    <w:rsid w:val="00664F1A"/>
    <w:rsid w:val="00667200"/>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E15"/>
    <w:rsid w:val="006B38CC"/>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61AED"/>
    <w:rsid w:val="007636DE"/>
    <w:rsid w:val="00765F55"/>
    <w:rsid w:val="007706D0"/>
    <w:rsid w:val="00773BDA"/>
    <w:rsid w:val="00773C96"/>
    <w:rsid w:val="00773DCA"/>
    <w:rsid w:val="007742E7"/>
    <w:rsid w:val="00776D6B"/>
    <w:rsid w:val="007827F7"/>
    <w:rsid w:val="007842C7"/>
    <w:rsid w:val="007862BF"/>
    <w:rsid w:val="007927C1"/>
    <w:rsid w:val="00793EA4"/>
    <w:rsid w:val="007944C3"/>
    <w:rsid w:val="00797969"/>
    <w:rsid w:val="007A422E"/>
    <w:rsid w:val="007A68E2"/>
    <w:rsid w:val="007A7270"/>
    <w:rsid w:val="007B0569"/>
    <w:rsid w:val="007B36E6"/>
    <w:rsid w:val="007B6733"/>
    <w:rsid w:val="007B6ADB"/>
    <w:rsid w:val="007C0E2A"/>
    <w:rsid w:val="007C1EC0"/>
    <w:rsid w:val="007C221F"/>
    <w:rsid w:val="007C6CC6"/>
    <w:rsid w:val="007C7AEC"/>
    <w:rsid w:val="007D15F5"/>
    <w:rsid w:val="007D35D4"/>
    <w:rsid w:val="007D4BD9"/>
    <w:rsid w:val="007D632A"/>
    <w:rsid w:val="007D70DE"/>
    <w:rsid w:val="007E144D"/>
    <w:rsid w:val="007E1A21"/>
    <w:rsid w:val="007E2766"/>
    <w:rsid w:val="007E29DD"/>
    <w:rsid w:val="007E47C9"/>
    <w:rsid w:val="007E542F"/>
    <w:rsid w:val="007E6D3C"/>
    <w:rsid w:val="007E74D3"/>
    <w:rsid w:val="007E75B3"/>
    <w:rsid w:val="007F63B8"/>
    <w:rsid w:val="00802A02"/>
    <w:rsid w:val="00802F82"/>
    <w:rsid w:val="008034A6"/>
    <w:rsid w:val="00803ADC"/>
    <w:rsid w:val="00803D35"/>
    <w:rsid w:val="008064E5"/>
    <w:rsid w:val="00811A7C"/>
    <w:rsid w:val="00814716"/>
    <w:rsid w:val="00815718"/>
    <w:rsid w:val="008159B1"/>
    <w:rsid w:val="008211B6"/>
    <w:rsid w:val="008222DF"/>
    <w:rsid w:val="00825E45"/>
    <w:rsid w:val="00831E58"/>
    <w:rsid w:val="0083554F"/>
    <w:rsid w:val="00836315"/>
    <w:rsid w:val="00837DB8"/>
    <w:rsid w:val="00844428"/>
    <w:rsid w:val="00846CBA"/>
    <w:rsid w:val="00861EA4"/>
    <w:rsid w:val="00862AFA"/>
    <w:rsid w:val="00863700"/>
    <w:rsid w:val="0086567A"/>
    <w:rsid w:val="00865D16"/>
    <w:rsid w:val="00867C2A"/>
    <w:rsid w:val="00870546"/>
    <w:rsid w:val="00870C53"/>
    <w:rsid w:val="00871F58"/>
    <w:rsid w:val="00872FCD"/>
    <w:rsid w:val="008731C9"/>
    <w:rsid w:val="00875139"/>
    <w:rsid w:val="0087559E"/>
    <w:rsid w:val="00875D1D"/>
    <w:rsid w:val="00882F18"/>
    <w:rsid w:val="00887996"/>
    <w:rsid w:val="008912B5"/>
    <w:rsid w:val="008919FA"/>
    <w:rsid w:val="00894205"/>
    <w:rsid w:val="008948CA"/>
    <w:rsid w:val="008966F6"/>
    <w:rsid w:val="008A4F4D"/>
    <w:rsid w:val="008A5259"/>
    <w:rsid w:val="008B0514"/>
    <w:rsid w:val="008B3E44"/>
    <w:rsid w:val="008B4257"/>
    <w:rsid w:val="008B7827"/>
    <w:rsid w:val="008B7853"/>
    <w:rsid w:val="008C2395"/>
    <w:rsid w:val="008C291E"/>
    <w:rsid w:val="008C2C73"/>
    <w:rsid w:val="008C77C6"/>
    <w:rsid w:val="008D0A86"/>
    <w:rsid w:val="008D552A"/>
    <w:rsid w:val="008D6EF1"/>
    <w:rsid w:val="008D797C"/>
    <w:rsid w:val="008D7BA0"/>
    <w:rsid w:val="008E0FC4"/>
    <w:rsid w:val="008E1A2B"/>
    <w:rsid w:val="008E5CC2"/>
    <w:rsid w:val="008E790D"/>
    <w:rsid w:val="008F28BE"/>
    <w:rsid w:val="008F3E4A"/>
    <w:rsid w:val="008F4F09"/>
    <w:rsid w:val="008F5836"/>
    <w:rsid w:val="008F6239"/>
    <w:rsid w:val="008F6BB4"/>
    <w:rsid w:val="0090245D"/>
    <w:rsid w:val="00911FD9"/>
    <w:rsid w:val="00914141"/>
    <w:rsid w:val="00916784"/>
    <w:rsid w:val="00916934"/>
    <w:rsid w:val="009246F1"/>
    <w:rsid w:val="009247D4"/>
    <w:rsid w:val="00930456"/>
    <w:rsid w:val="00931A88"/>
    <w:rsid w:val="00933A16"/>
    <w:rsid w:val="00933C7C"/>
    <w:rsid w:val="00933F3F"/>
    <w:rsid w:val="00935C3D"/>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B1044"/>
    <w:rsid w:val="009C0CB9"/>
    <w:rsid w:val="009C1718"/>
    <w:rsid w:val="009C2950"/>
    <w:rsid w:val="009C51E1"/>
    <w:rsid w:val="009C536C"/>
    <w:rsid w:val="009C5C15"/>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558"/>
    <w:rsid w:val="00A04F9C"/>
    <w:rsid w:val="00A0759F"/>
    <w:rsid w:val="00A130E4"/>
    <w:rsid w:val="00A14EBC"/>
    <w:rsid w:val="00A15983"/>
    <w:rsid w:val="00A24150"/>
    <w:rsid w:val="00A261E6"/>
    <w:rsid w:val="00A30C3C"/>
    <w:rsid w:val="00A32070"/>
    <w:rsid w:val="00A33D3A"/>
    <w:rsid w:val="00A353DC"/>
    <w:rsid w:val="00A40BA0"/>
    <w:rsid w:val="00A42596"/>
    <w:rsid w:val="00A43DCF"/>
    <w:rsid w:val="00A44C02"/>
    <w:rsid w:val="00A4537F"/>
    <w:rsid w:val="00A51843"/>
    <w:rsid w:val="00A53D64"/>
    <w:rsid w:val="00A55AF2"/>
    <w:rsid w:val="00A57C7C"/>
    <w:rsid w:val="00A60934"/>
    <w:rsid w:val="00A62362"/>
    <w:rsid w:val="00A63A28"/>
    <w:rsid w:val="00A64C86"/>
    <w:rsid w:val="00A67985"/>
    <w:rsid w:val="00A6798F"/>
    <w:rsid w:val="00A7325E"/>
    <w:rsid w:val="00A76DBE"/>
    <w:rsid w:val="00A777EC"/>
    <w:rsid w:val="00A8311E"/>
    <w:rsid w:val="00A87C7B"/>
    <w:rsid w:val="00A94FE9"/>
    <w:rsid w:val="00A95090"/>
    <w:rsid w:val="00A9514D"/>
    <w:rsid w:val="00A96690"/>
    <w:rsid w:val="00A97BF8"/>
    <w:rsid w:val="00AA04CC"/>
    <w:rsid w:val="00AA0D07"/>
    <w:rsid w:val="00AA0F9B"/>
    <w:rsid w:val="00AA3AF8"/>
    <w:rsid w:val="00AA7167"/>
    <w:rsid w:val="00AB0D1B"/>
    <w:rsid w:val="00AB16E7"/>
    <w:rsid w:val="00AB263D"/>
    <w:rsid w:val="00AB2BBC"/>
    <w:rsid w:val="00AB4ACC"/>
    <w:rsid w:val="00AB537D"/>
    <w:rsid w:val="00AB7EB0"/>
    <w:rsid w:val="00AC4279"/>
    <w:rsid w:val="00AC51D3"/>
    <w:rsid w:val="00AC5870"/>
    <w:rsid w:val="00AC78CA"/>
    <w:rsid w:val="00AC7A82"/>
    <w:rsid w:val="00AD1373"/>
    <w:rsid w:val="00AD2B85"/>
    <w:rsid w:val="00AE18A0"/>
    <w:rsid w:val="00AE376A"/>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5660"/>
    <w:rsid w:val="00B65E1E"/>
    <w:rsid w:val="00B67FA8"/>
    <w:rsid w:val="00B73093"/>
    <w:rsid w:val="00B75570"/>
    <w:rsid w:val="00B757DF"/>
    <w:rsid w:val="00B77425"/>
    <w:rsid w:val="00B8042F"/>
    <w:rsid w:val="00B80FDD"/>
    <w:rsid w:val="00B81E4C"/>
    <w:rsid w:val="00B81FC7"/>
    <w:rsid w:val="00B8385A"/>
    <w:rsid w:val="00B838DA"/>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D756F"/>
    <w:rsid w:val="00BE29DD"/>
    <w:rsid w:val="00BE5364"/>
    <w:rsid w:val="00BF268B"/>
    <w:rsid w:val="00C0043D"/>
    <w:rsid w:val="00C006B0"/>
    <w:rsid w:val="00C00E2E"/>
    <w:rsid w:val="00C0127E"/>
    <w:rsid w:val="00C02E85"/>
    <w:rsid w:val="00C04CEB"/>
    <w:rsid w:val="00C074A2"/>
    <w:rsid w:val="00C142E1"/>
    <w:rsid w:val="00C14F5D"/>
    <w:rsid w:val="00C24153"/>
    <w:rsid w:val="00C25111"/>
    <w:rsid w:val="00C253B8"/>
    <w:rsid w:val="00C27A92"/>
    <w:rsid w:val="00C3037E"/>
    <w:rsid w:val="00C30491"/>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0ECE"/>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46C7"/>
    <w:rsid w:val="00CD6B1A"/>
    <w:rsid w:val="00CE0D0F"/>
    <w:rsid w:val="00CE2567"/>
    <w:rsid w:val="00CE6A12"/>
    <w:rsid w:val="00CE7B33"/>
    <w:rsid w:val="00CF23C9"/>
    <w:rsid w:val="00CF3ECE"/>
    <w:rsid w:val="00CF41D2"/>
    <w:rsid w:val="00D0035A"/>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24E3"/>
    <w:rsid w:val="00D42662"/>
    <w:rsid w:val="00D42AF3"/>
    <w:rsid w:val="00D512B6"/>
    <w:rsid w:val="00D52C2F"/>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3973"/>
    <w:rsid w:val="00D858B7"/>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9E8"/>
    <w:rsid w:val="00DF4AE4"/>
    <w:rsid w:val="00E03811"/>
    <w:rsid w:val="00E03F84"/>
    <w:rsid w:val="00E10AF0"/>
    <w:rsid w:val="00E10B00"/>
    <w:rsid w:val="00E11816"/>
    <w:rsid w:val="00E13759"/>
    <w:rsid w:val="00E13D12"/>
    <w:rsid w:val="00E15476"/>
    <w:rsid w:val="00E15AC0"/>
    <w:rsid w:val="00E173CA"/>
    <w:rsid w:val="00E17716"/>
    <w:rsid w:val="00E2017F"/>
    <w:rsid w:val="00E249CE"/>
    <w:rsid w:val="00E25B32"/>
    <w:rsid w:val="00E25BB0"/>
    <w:rsid w:val="00E25EF1"/>
    <w:rsid w:val="00E32C7A"/>
    <w:rsid w:val="00E33028"/>
    <w:rsid w:val="00E34070"/>
    <w:rsid w:val="00E35411"/>
    <w:rsid w:val="00E37E67"/>
    <w:rsid w:val="00E4048A"/>
    <w:rsid w:val="00E408CF"/>
    <w:rsid w:val="00E41569"/>
    <w:rsid w:val="00E41929"/>
    <w:rsid w:val="00E45AA7"/>
    <w:rsid w:val="00E50120"/>
    <w:rsid w:val="00E51BAD"/>
    <w:rsid w:val="00E52D1B"/>
    <w:rsid w:val="00E5457D"/>
    <w:rsid w:val="00E617F3"/>
    <w:rsid w:val="00E61903"/>
    <w:rsid w:val="00E66596"/>
    <w:rsid w:val="00E740C8"/>
    <w:rsid w:val="00E74332"/>
    <w:rsid w:val="00E74BB0"/>
    <w:rsid w:val="00E74BBE"/>
    <w:rsid w:val="00E76211"/>
    <w:rsid w:val="00E80403"/>
    <w:rsid w:val="00E80CFB"/>
    <w:rsid w:val="00E8179E"/>
    <w:rsid w:val="00E8563B"/>
    <w:rsid w:val="00E86372"/>
    <w:rsid w:val="00E910A0"/>
    <w:rsid w:val="00E925DB"/>
    <w:rsid w:val="00E92C72"/>
    <w:rsid w:val="00E932CE"/>
    <w:rsid w:val="00E94563"/>
    <w:rsid w:val="00E960CD"/>
    <w:rsid w:val="00E9771D"/>
    <w:rsid w:val="00EA3129"/>
    <w:rsid w:val="00EA33A5"/>
    <w:rsid w:val="00EA4D76"/>
    <w:rsid w:val="00EA5264"/>
    <w:rsid w:val="00EB21DE"/>
    <w:rsid w:val="00EB4866"/>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EF3106"/>
    <w:rsid w:val="00EF4255"/>
    <w:rsid w:val="00F012A7"/>
    <w:rsid w:val="00F0132A"/>
    <w:rsid w:val="00F0327E"/>
    <w:rsid w:val="00F06974"/>
    <w:rsid w:val="00F12AF0"/>
    <w:rsid w:val="00F222B3"/>
    <w:rsid w:val="00F2354A"/>
    <w:rsid w:val="00F23C22"/>
    <w:rsid w:val="00F24631"/>
    <w:rsid w:val="00F254A4"/>
    <w:rsid w:val="00F25C08"/>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47A8"/>
    <w:rsid w:val="00F7720E"/>
    <w:rsid w:val="00F81859"/>
    <w:rsid w:val="00F86B37"/>
    <w:rsid w:val="00F87802"/>
    <w:rsid w:val="00F90336"/>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C683E97B-80C1-4B41-A98C-100A299B2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33858116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2E2EF-2FEC-4412-8D59-C3A30956E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723</Words>
  <Characters>4125</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4839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cp:lastModifiedBy>
  <cp:revision>36</cp:revision>
  <cp:lastPrinted>2017-03-24T11:01:00Z</cp:lastPrinted>
  <dcterms:created xsi:type="dcterms:W3CDTF">2017-09-05T10:54:00Z</dcterms:created>
  <dcterms:modified xsi:type="dcterms:W3CDTF">2017-09-11T17:28:00Z</dcterms:modified>
  <cp:category/>
</cp:coreProperties>
</file>